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Default="0039034B">
      <w:pPr>
        <w:pStyle w:val="ATitel"/>
      </w:pPr>
      <w:bookmarkStart w:id="0" w:name="_Toc106864968"/>
      <w:bookmarkStart w:id="1" w:name="_Ref108513125"/>
      <w:bookmarkStart w:id="2" w:name="_Ref108513126"/>
      <w:bookmarkStart w:id="3" w:name="_Toc10443186"/>
      <w:bookmarkStart w:id="4" w:name="_GoBack"/>
      <w:bookmarkEnd w:id="4"/>
      <w:r w:rsidRPr="0039034B">
        <w:rPr>
          <w:highlight w:val="yellow"/>
        </w:rPr>
        <w:t>[Format A_Titel]</w:t>
      </w:r>
      <w:r w:rsidR="003F6570">
        <w:t xml:space="preserve">Good Governance in der europäischen Agrarumweltpolitik: </w:t>
      </w:r>
      <w:r w:rsidR="003F6570">
        <w:br/>
        <w:t>Eine institutionenökonomische Mehrebenenanalyse</w:t>
      </w:r>
    </w:p>
    <w:p w:rsidR="003F6570" w:rsidRDefault="003F6570">
      <w:pPr>
        <w:pStyle w:val="AAutoren"/>
      </w:pPr>
    </w:p>
    <w:p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rsidR="003F6570" w:rsidRDefault="0039034B" w:rsidP="002075FC">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durchgeführte institutionen</w:t>
      </w:r>
      <w:r w:rsidR="003F6570">
        <w:softHyphen/>
        <w:t>öko</w:t>
      </w:r>
      <w:r w:rsidR="003F6570">
        <w:softHyphen/>
        <w:t>no</w:t>
      </w:r>
      <w:r w:rsidR="003F6570">
        <w:softHyphen/>
        <w:t>mische Analyse zeichnet sich durch eine besondere Komplexität in Form einer doppelten Mehrebenenperspektive aus: Zum einen werden mit der EU-, Bundes-, Landes- und Land</w:t>
      </w:r>
      <w:r w:rsidR="003F6570">
        <w:softHyphen/>
        <w:t>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gegenseitig beeinflussen und des</w:t>
      </w:r>
      <w:r w:rsidR="003F6570">
        <w:softHyphen/>
        <w:t xml:space="preserve">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softHyphen/>
        <w:t>ordnung (EG) Nr. 1698/2005 zur Entwicklung des ländlichen Raumes weiterhin be</w:t>
      </w:r>
      <w:r w:rsidR="003F6570">
        <w:softHyphen/>
        <w:t>stehenden poli</w:t>
      </w:r>
      <w:r w:rsidR="003F6570">
        <w:softHyphen/>
        <w:t>tischen Relevanz werden abschließend einige Politikempfehlungen abge</w:t>
      </w:r>
      <w:r w:rsidR="003F6570">
        <w:softHyphen/>
        <w:t>leitet.</w:t>
      </w:r>
    </w:p>
    <w:p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Agrarumweltmaßnahmen, Institutionen</w:t>
      </w:r>
      <w:r w:rsidR="003F6570">
        <w:softHyphen/>
        <w:t>öko</w:t>
      </w:r>
      <w:r w:rsidR="003F6570">
        <w:softHyphen/>
        <w:t xml:space="preserve">nomie, Institutioneller Wandel, Politische Ökonomie. </w:t>
      </w:r>
    </w:p>
    <w:p w:rsidR="003F6570" w:rsidRDefault="0039034B" w:rsidP="00BE4567">
      <w:pPr>
        <w:pStyle w:val="Aberschrift1"/>
        <w:outlineLvl w:val="0"/>
      </w:pPr>
      <w:bookmarkStart w:id="5" w:name="_Toc90628245"/>
      <w:bookmarkStart w:id="6" w:name="_Toc106864972"/>
      <w:bookmarkStart w:id="7" w:name="_Toc108526333"/>
      <w:bookmarkEnd w:id="0"/>
      <w:bookmarkEnd w:id="1"/>
      <w:bookmarkEnd w:id="2"/>
      <w:r w:rsidRPr="0039034B">
        <w:rPr>
          <w:highlight w:val="yellow"/>
        </w:rPr>
        <w:t>[Format A_</w:t>
      </w:r>
      <w:r>
        <w:rPr>
          <w:highlight w:val="yellow"/>
        </w:rPr>
        <w:t>Überschrift 1</w:t>
      </w:r>
      <w:r w:rsidRPr="0039034B">
        <w:rPr>
          <w:highlight w:val="yellow"/>
        </w:rPr>
        <w:t>]</w:t>
      </w:r>
      <w:r w:rsidR="003F6570">
        <w:t>1</w:t>
      </w:r>
      <w:r w:rsidR="003F6570">
        <w:tab/>
        <w:t>Einleitung</w:t>
      </w:r>
      <w:bookmarkEnd w:id="5"/>
      <w:bookmarkEnd w:id="6"/>
      <w:bookmarkEnd w:id="7"/>
    </w:p>
    <w:p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softHyphen/>
        <w:t>sul</w:t>
      </w:r>
      <w:r w:rsidR="003F6570">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8" w:name="_Toc87170516"/>
      <w:bookmarkStart w:id="9" w:name="_Ref87170703"/>
      <w:bookmarkStart w:id="10" w:name="_Ref87170709"/>
      <w:bookmarkStart w:id="11" w:name="_Ref87321406"/>
      <w:bookmarkStart w:id="12" w:name="_Toc87329162"/>
      <w:bookmarkStart w:id="13" w:name="_Ref87358168"/>
      <w:bookmarkStart w:id="14" w:name="_Ref87875940"/>
      <w:bookmarkStart w:id="15" w:name="_Toc108327481"/>
      <w:bookmarkStart w:id="16" w:name="_Toc108526336"/>
      <w:bookmarkStart w:id="17" w:name="_Ref84808916"/>
      <w:bookmarkStart w:id="18" w:name="_Toc87329158"/>
      <w:bookmarkStart w:id="19" w:name="_Toc108327478"/>
      <w:r w:rsidRPr="0039034B">
        <w:rPr>
          <w:highlight w:val="yellow"/>
        </w:rPr>
        <w:lastRenderedPageBreak/>
        <w:t>[Format A_</w:t>
      </w:r>
      <w:r>
        <w:rPr>
          <w:highlight w:val="yellow"/>
        </w:rPr>
        <w:t>Überschrift 1</w:t>
      </w:r>
      <w:r w:rsidRPr="0039034B">
        <w:rPr>
          <w:highlight w:val="yellow"/>
        </w:rPr>
        <w:t>]</w:t>
      </w:r>
      <w:r w:rsidR="003F6570">
        <w:t>2</w:t>
      </w:r>
      <w:r w:rsidR="003F6570">
        <w:tab/>
        <w:t>Empirische Methoden</w:t>
      </w:r>
      <w:bookmarkEnd w:id="8"/>
      <w:bookmarkEnd w:id="9"/>
      <w:bookmarkEnd w:id="10"/>
      <w:bookmarkEnd w:id="11"/>
      <w:bookmarkEnd w:id="12"/>
      <w:bookmarkEnd w:id="13"/>
      <w:bookmarkEnd w:id="14"/>
      <w:bookmarkEnd w:id="15"/>
      <w:r w:rsidR="003F6570">
        <w:t xml:space="preserve"> und Analyserahmen</w:t>
      </w:r>
      <w:bookmarkEnd w:id="16"/>
    </w:p>
    <w:p w:rsidR="003F6570" w:rsidRDefault="0039034B" w:rsidP="00BE4567">
      <w:pPr>
        <w:pStyle w:val="Aberschrift2"/>
        <w:outlineLvl w:val="0"/>
      </w:pPr>
      <w:bookmarkStart w:id="20"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20"/>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rsidR="003F6570" w:rsidRDefault="003F6570">
      <w:pPr>
        <w:pStyle w:val="AText"/>
      </w:pPr>
      <w:r>
        <w:t>Grundlage der in diesem Beitrag dargestellten Ergebnisse sind neben einer Dokumenten</w:t>
      </w:r>
      <w:r>
        <w:softHyphen/>
        <w:t>analyse und der Auswertung des GRANO-Projektes 25 Experteninterviews auf allen politi</w:t>
      </w:r>
      <w:r>
        <w:softHyphen/>
        <w:t>schen Ebenen. Dabei wurden Akteure der mittleren bis oberen Hierarchieebenen ausgewählt. Die Auswertung der Interviews wurde in einem mehrstufigen Verfahren mit Hilfe der Aus</w:t>
      </w:r>
      <w:r>
        <w:softHyphen/>
        <w:t>wer</w:t>
      </w:r>
      <w:r>
        <w:softHyphen/>
        <w:t>tungssoftware „ATLAS ti“ durchgeführt.</w:t>
      </w:r>
    </w:p>
    <w:p w:rsidR="00DD5B80" w:rsidRDefault="00DD5B80">
      <w:pPr>
        <w:pStyle w:val="AText"/>
      </w:pPr>
      <w:r>
        <w:t>...</w:t>
      </w:r>
    </w:p>
    <w:p w:rsidR="003F6570" w:rsidRDefault="00F26A05" w:rsidP="00DD5B80">
      <w:pPr>
        <w:pStyle w:val="ATabelle"/>
      </w:pPr>
      <w:bookmarkStart w:id="21" w:name="_Ref89164613"/>
      <w:bookmarkStart w:id="22" w:name="_Toc106864670"/>
      <w:bookmarkEnd w:id="17"/>
      <w:bookmarkEnd w:id="18"/>
      <w:bookmarkEnd w:id="19"/>
      <w:r w:rsidRPr="0039034B">
        <w:rPr>
          <w:highlight w:val="yellow"/>
        </w:rPr>
        <w:t>[Format A_</w:t>
      </w:r>
      <w:r>
        <w:rPr>
          <w:highlight w:val="yellow"/>
        </w:rPr>
        <w:t>Tabelle</w:t>
      </w:r>
      <w:r w:rsidRPr="0039034B">
        <w:rPr>
          <w:highlight w:val="yellow"/>
        </w:rPr>
        <w:t>]</w:t>
      </w:r>
      <w:r w:rsidR="003F6570">
        <w:t xml:space="preserve">Tabelle </w:t>
      </w:r>
      <w:bookmarkEnd w:id="21"/>
      <w:r w:rsidR="00597601">
        <w:t>1</w:t>
      </w:r>
      <w:r w:rsidR="003F6570">
        <w:t>:</w:t>
      </w:r>
      <w:r w:rsidR="003F6570">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Tr="006320B7">
        <w:tc>
          <w:tcPr>
            <w:tcW w:w="2835" w:type="dxa"/>
            <w:tcBorders>
              <w:top w:val="single" w:sz="12" w:space="0" w:color="auto"/>
              <w:left w:val="single" w:sz="12"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rsidR="003F6570" w:rsidRDefault="003F6570">
            <w:pPr>
              <w:pStyle w:val="ATabellentextfett"/>
            </w:pPr>
            <w:r>
              <w:t>Institutionelle Hemmnisse</w:t>
            </w:r>
          </w:p>
        </w:tc>
      </w:tr>
      <w:tr w:rsidR="003F6570" w:rsidTr="006320B7">
        <w:tc>
          <w:tcPr>
            <w:tcW w:w="2835" w:type="dxa"/>
            <w:tcBorders>
              <w:top w:val="single" w:sz="12" w:space="0" w:color="auto"/>
              <w:left w:val="single" w:sz="12" w:space="0" w:color="auto"/>
              <w:right w:val="single" w:sz="4" w:space="0" w:color="auto"/>
            </w:tcBorders>
          </w:tcPr>
          <w:p w:rsidR="003F6570" w:rsidRDefault="003F6570">
            <w:pPr>
              <w:pStyle w:val="ATabellentextfett"/>
            </w:pPr>
            <w:r>
              <w:t xml:space="preserve">Metakonstitutionelle </w:t>
            </w:r>
            <w:r>
              <w:br/>
              <w:t>Regeln: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rsidR="003F6570" w:rsidRDefault="003F6570">
            <w:pPr>
              <w:pStyle w:val="ATabellenaufzhlung"/>
            </w:pPr>
            <w:r>
              <w:t xml:space="preserve">Kognitive Handlungsorientierungen der Beamten sind tendenziell durch Risikoaversität und geringes Vertrauen gegenüber der politisch jeweils anderen Ebene geprägt. </w:t>
            </w:r>
          </w:p>
          <w:p w:rsidR="003F6570" w:rsidRDefault="003F6570">
            <w:pPr>
              <w:pStyle w:val="ATabellenaufzhlung"/>
            </w:pPr>
            <w:r>
              <w:t>Sektoral ausgeprägtes Denken überwiegt.</w:t>
            </w:r>
          </w:p>
        </w:tc>
      </w:tr>
      <w:tr w:rsidR="003F6570" w:rsidTr="006320B7">
        <w:tc>
          <w:tcPr>
            <w:tcW w:w="2835" w:type="dxa"/>
            <w:tcBorders>
              <w:left w:val="single" w:sz="12" w:space="0" w:color="auto"/>
              <w:right w:val="single" w:sz="4" w:space="0" w:color="auto"/>
            </w:tcBorders>
          </w:tcPr>
          <w:p w:rsidR="003F6570" w:rsidRDefault="003F6570">
            <w:pPr>
              <w:pStyle w:val="ATabellentextfett"/>
            </w:pPr>
            <w:r>
              <w:t xml:space="preserve">Konstitutionelle </w:t>
            </w:r>
            <w:r>
              <w:br/>
              <w:t xml:space="preserve">Entscheidungsregeln: </w:t>
            </w:r>
          </w:p>
          <w:p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Interessenvertretung</w:t>
            </w:r>
          </w:p>
          <w:p w:rsidR="003F6570" w:rsidRDefault="003F6570">
            <w:pPr>
              <w:pStyle w:val="ATabellenaufzhlung"/>
            </w:pPr>
            <w:r>
              <w:t>Wettbewerbsregeln</w:t>
            </w:r>
          </w:p>
        </w:tc>
      </w:tr>
      <w:tr w:rsidR="003F6570" w:rsidTr="006320B7">
        <w:tc>
          <w:tcPr>
            <w:tcW w:w="2835" w:type="dxa"/>
            <w:tcBorders>
              <w:left w:val="single" w:sz="12" w:space="0" w:color="auto"/>
              <w:right w:val="single" w:sz="4" w:space="0" w:color="auto"/>
            </w:tcBorders>
          </w:tcPr>
          <w:p w:rsidR="003F6570" w:rsidRDefault="003F6570">
            <w:pPr>
              <w:pStyle w:val="ATabellentextfett"/>
            </w:pPr>
            <w:r>
              <w:t xml:space="preserve">Kollektive </w:t>
            </w:r>
            <w:r>
              <w:br/>
              <w:t>Entscheidungsregeln:</w:t>
            </w:r>
          </w:p>
          <w:p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zur Ausstattung der personellen und finanziellen Ressourcen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Ansätze</w:t>
            </w:r>
          </w:p>
        </w:tc>
      </w:tr>
      <w:tr w:rsidR="003F6570" w:rsidTr="006320B7">
        <w:tc>
          <w:tcPr>
            <w:tcW w:w="2835" w:type="dxa"/>
            <w:tcBorders>
              <w:left w:val="single" w:sz="12" w:space="0" w:color="auto"/>
              <w:bottom w:val="single" w:sz="12" w:space="0" w:color="auto"/>
              <w:right w:val="single" w:sz="4" w:space="0" w:color="auto"/>
            </w:tcBorders>
          </w:tcPr>
          <w:p w:rsidR="003F6570" w:rsidRDefault="003F6570">
            <w:pPr>
              <w:pStyle w:val="ATabellentextfett"/>
            </w:pPr>
            <w:r>
              <w:t xml:space="preserve">Operative </w:t>
            </w:r>
            <w:r>
              <w:br/>
              <w:t>Entscheidungsregeln:</w:t>
            </w:r>
          </w:p>
          <w:p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12" w:space="0" w:color="auto"/>
            </w:tcBorders>
          </w:tcPr>
          <w:p w:rsidR="003F6570" w:rsidRDefault="003F6570">
            <w:pPr>
              <w:pStyle w:val="ATabellenaufzhlung"/>
            </w:pPr>
            <w:r>
              <w:t>Spezifische Regeln zur Planung, Genehmigung und Kontrolle von AUM</w:t>
            </w:r>
          </w:p>
          <w:p w:rsidR="003F6570" w:rsidRDefault="003F6570">
            <w:pPr>
              <w:pStyle w:val="ATabellenaufzhlung"/>
            </w:pPr>
            <w:r>
              <w:t>Regeln zur Festlegung der „Gebietskulisse“</w:t>
            </w:r>
          </w:p>
        </w:tc>
      </w:tr>
    </w:tbl>
    <w:p w:rsidR="003F6570" w:rsidRDefault="000A19EF" w:rsidP="00BB1C27">
      <w:pPr>
        <w:pStyle w:val="AQuelle"/>
      </w:pPr>
      <w:bookmarkStart w:id="23"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rsidR="000A19EF" w:rsidRDefault="000A19EF" w:rsidP="000A19EF">
      <w:pPr>
        <w:pStyle w:val="AAbbildung"/>
        <w:spacing w:before="0"/>
        <w:outlineLvl w:val="0"/>
      </w:pPr>
      <w:r w:rsidRPr="0039034B">
        <w:rPr>
          <w:highlight w:val="yellow"/>
        </w:rPr>
        <w:lastRenderedPageBreak/>
        <w:t>[Format A_</w:t>
      </w:r>
      <w:r>
        <w:rPr>
          <w:highlight w:val="yellow"/>
        </w:rPr>
        <w:t>Abbildung</w:t>
      </w:r>
      <w:r w:rsidRPr="0039034B">
        <w:rPr>
          <w:highlight w:val="yellow"/>
        </w:rPr>
        <w:t>]</w:t>
      </w:r>
      <w:r>
        <w:t xml:space="preserve">Abbildung </w:t>
      </w:r>
      <w:r w:rsidR="00597601">
        <w:t>1</w:t>
      </w:r>
      <w:r>
        <w:t>:</w:t>
      </w:r>
      <w:r>
        <w:tab/>
      </w:r>
      <w:r w:rsidR="00B443AE">
        <w:t>Beispiel für ein Abbildungsformat</w:t>
      </w:r>
    </w:p>
    <w:p w:rsidR="00597601" w:rsidRDefault="00D87D4A" w:rsidP="00B443AE">
      <w:pPr>
        <w:pStyle w:val="AGrafik"/>
      </w:pPr>
      <w:r w:rsidRPr="00F26A05">
        <w:rPr>
          <w:b/>
          <w:highlight w:val="yellow"/>
        </w:rPr>
        <w:t>[Format A_Grafik]</w:t>
      </w:r>
      <w:r w:rsidR="005B67BB">
        <w:rPr>
          <w:noProof/>
        </w:rPr>
        <w:drawing>
          <wp:inline distT="0" distB="0" distL="0" distR="0">
            <wp:extent cx="5727700" cy="2628900"/>
            <wp:effectExtent l="19050" t="19050" r="25400" b="190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3391" t="-2745" r="-6779" b="-2745"/>
                    <a:stretch>
                      <a:fillRect/>
                    </a:stretch>
                  </pic:blipFill>
                  <pic:spPr bwMode="auto">
                    <a:xfrm>
                      <a:off x="0" y="0"/>
                      <a:ext cx="5727700" cy="2628900"/>
                    </a:xfrm>
                    <a:prstGeom prst="rect">
                      <a:avLst/>
                    </a:prstGeom>
                    <a:noFill/>
                    <a:ln w="19050" cmpd="sng">
                      <a:solidFill>
                        <a:srgbClr val="000000"/>
                      </a:solidFill>
                      <a:miter lim="800000"/>
                      <a:headEnd/>
                      <a:tailEnd/>
                    </a:ln>
                    <a:effectLst/>
                  </pic:spPr>
                </pic:pic>
              </a:graphicData>
            </a:graphic>
          </wp:inline>
        </w:drawing>
      </w:r>
    </w:p>
    <w:p w:rsidR="000A19EF" w:rsidRDefault="00E2493D" w:rsidP="00BB1C27">
      <w:pPr>
        <w:pStyle w:val="AQuelle"/>
      </w:pPr>
      <w:r>
        <w:t>Quelle:</w:t>
      </w:r>
      <w:r>
        <w:tab/>
      </w:r>
    </w:p>
    <w:p w:rsidR="003F6570" w:rsidRDefault="00DD5B80" w:rsidP="00BE4567">
      <w:pPr>
        <w:pStyle w:val="Aberschrift1"/>
        <w:outlineLvl w:val="0"/>
      </w:pPr>
      <w:bookmarkStart w:id="24" w:name="_Toc108526350"/>
      <w:bookmarkEnd w:id="23"/>
      <w:r w:rsidRPr="0039034B">
        <w:rPr>
          <w:highlight w:val="yellow"/>
        </w:rPr>
        <w:t>[Format A_</w:t>
      </w:r>
      <w:r>
        <w:rPr>
          <w:highlight w:val="yellow"/>
        </w:rPr>
        <w:t>Überschrift 1</w:t>
      </w:r>
      <w:r w:rsidRPr="0039034B">
        <w:rPr>
          <w:highlight w:val="yellow"/>
        </w:rPr>
        <w:t>]</w:t>
      </w:r>
      <w:r w:rsidR="003F6570">
        <w:t>Literatur</w:t>
      </w:r>
      <w:bookmarkEnd w:id="3"/>
      <w:bookmarkEnd w:id="24"/>
    </w:p>
    <w:p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xml:space="preserve">, P.W., K.J. Arrow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Default="003F6570">
      <w:pPr>
        <w:pStyle w:val="ALiteraturangaben"/>
      </w:pPr>
      <w:r>
        <w:rPr>
          <w:smallCaps/>
        </w:rPr>
        <w:t>Ewers</w:t>
      </w:r>
      <w:r>
        <w:t>, H.-J. und W. </w:t>
      </w:r>
      <w:r>
        <w:rPr>
          <w:smallCaps/>
        </w:rPr>
        <w:t>Henrichsmeyer</w:t>
      </w:r>
      <w:r>
        <w:t xml:space="preserve"> (2000): Agrarumweltpolitik nach dem Subsidiaritäts</w:t>
      </w:r>
      <w:r>
        <w:softHyphen/>
        <w:t>prinzip: Denkschrift des Schwäbisch Haller Agrarkolloquiums der Robert Bosch Stiftung. In: Ewers, H.-J. und W. Henrichsmeyer (Hrsg.): Schriften zur Agrar</w:t>
      </w:r>
      <w:r>
        <w:softHyphen/>
        <w:t>forschung und Agrarpolitik. Analytica, Berlin.</w:t>
      </w:r>
    </w:p>
    <w:p w:rsidR="003F6570" w:rsidRDefault="003F6570">
      <w:pPr>
        <w:pStyle w:val="ALiteraturangaben"/>
      </w:pPr>
      <w:r>
        <w:rPr>
          <w:smallCaps/>
          <w:lang w:val="en-GB"/>
        </w:rPr>
        <w:t>Fischler</w:t>
      </w:r>
      <w:r>
        <w:rPr>
          <w:lang w:val="en-GB"/>
        </w:rPr>
        <w:t xml:space="preserve">, F. (2000): Working together towards Sustainable Rural Development in the 21st Century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rsidR="003F6570" w:rsidRDefault="003F6570">
      <w:pPr>
        <w:pStyle w:val="ALiteraturangaben"/>
        <w:rPr>
          <w:lang w:val="it-IT"/>
        </w:rPr>
      </w:pPr>
      <w:r w:rsidRPr="005B67BB">
        <w:rPr>
          <w:smallCaps/>
          <w:lang w:val="en-US"/>
        </w:rPr>
        <w:lastRenderedPageBreak/>
        <w:t>Kahnemann</w:t>
      </w:r>
      <w:r w:rsidRPr="005B67BB">
        <w:rPr>
          <w:lang w:val="en-US"/>
        </w:rPr>
        <w:t>, D. und A. </w:t>
      </w:r>
      <w:r w:rsidRPr="005B67BB">
        <w:rPr>
          <w:smallCaps/>
          <w:lang w:val="en-US"/>
        </w:rPr>
        <w:t>Tversky</w:t>
      </w:r>
      <w:r w:rsidRPr="005B67BB">
        <w:rPr>
          <w:lang w:val="en-US"/>
        </w:rPr>
        <w:t xml:space="preserve"> (1984): Choices, Values and Frames. </w:t>
      </w:r>
      <w:r>
        <w:rPr>
          <w:lang w:val="it-IT"/>
        </w:rPr>
        <w:t>In: American Psycho</w:t>
      </w:r>
      <w:r>
        <w:rPr>
          <w:lang w:val="it-IT"/>
        </w:rPr>
        <w:softHyphen/>
        <w:t>lo</w:t>
      </w:r>
      <w:r>
        <w:rPr>
          <w:lang w:val="it-IT"/>
        </w:rPr>
        <w:softHyphen/>
        <w:t>gist 39: 341-350.</w:t>
      </w:r>
    </w:p>
    <w:p w:rsidR="003F6570" w:rsidRDefault="003F6570">
      <w:pPr>
        <w:pStyle w:val="ALiteraturangaben"/>
        <w:rPr>
          <w:lang w:val="en-GB"/>
        </w:rPr>
      </w:pPr>
      <w:r>
        <w:rPr>
          <w:smallCaps/>
        </w:rPr>
        <w:t>Knight</w:t>
      </w:r>
      <w:r>
        <w:t xml:space="preserve">, J. (1997): Institutionen und gesellschaftlicher Konflikt. </w:t>
      </w:r>
      <w:r>
        <w:rPr>
          <w:lang w:val="en-GB"/>
        </w:rPr>
        <w:t xml:space="preserve">Mohr (Siebeck),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Prospects for Integration between Agricultural, Regional and Environmental Policies. </w:t>
      </w:r>
      <w:smartTag w:uri="urn:schemas-microsoft-com:office:smarttags" w:element="City">
        <w:smartTag w:uri="urn:schemas-microsoft-com:office:smarttags" w:element="place">
          <w:r>
            <w:rPr>
              <w:lang w:val="en-GB"/>
            </w:rPr>
            <w:t>Walling</w:t>
          </w:r>
          <w:r>
            <w:rPr>
              <w:lang w:val="en-GB"/>
            </w:rPr>
            <w:softHyphen/>
            <w:t>ford</w:t>
          </w:r>
        </w:smartTag>
      </w:smartTag>
      <w:r>
        <w:rPr>
          <w:lang w:val="en-GB"/>
        </w:rPr>
        <w:t>: 31-51.</w:t>
      </w:r>
    </w:p>
    <w:p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Thousand Oakes.</w:t>
      </w:r>
    </w:p>
    <w:p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rsidR="003F6570" w:rsidRDefault="003F6570">
      <w:pPr>
        <w:pStyle w:val="ALiteraturangaben"/>
      </w:pPr>
      <w:r>
        <w:rPr>
          <w:smallCaps/>
        </w:rPr>
        <w:t>North</w:t>
      </w:r>
      <w:r>
        <w:t>, D.C. (1992): Der Verlauf institutionellen Wandels. Institutionen, institutioneller Wandel und Wirtschaftsleistung. Mohr, Tübingen.</w:t>
      </w:r>
    </w:p>
    <w:p w:rsidR="003F6570" w:rsidRDefault="003F6570">
      <w:pPr>
        <w:pStyle w:val="ALiteraturangaben"/>
      </w:pPr>
      <w:r>
        <w:rPr>
          <w:smallCaps/>
        </w:rPr>
        <w:t>Osterburg</w:t>
      </w:r>
      <w:r>
        <w:t>, B. und U. </w:t>
      </w:r>
      <w:r>
        <w:rPr>
          <w:smallCaps/>
        </w:rPr>
        <w:t xml:space="preserve">Stratmann </w:t>
      </w:r>
      <w:r>
        <w:t>(2002): Die regionale Agrarumweltpolitik in Deutschland unter dem Einfluss der Förderangebote der Europäischen Union. In: Agrarwirtschaft 51 (5): 259-279.</w:t>
      </w:r>
    </w:p>
    <w:p w:rsidR="003F6570" w:rsidRDefault="003F6570">
      <w:pPr>
        <w:pStyle w:val="ALiteraturangaben"/>
        <w:rPr>
          <w:lang w:val="en-GB"/>
        </w:rPr>
      </w:pPr>
      <w:r>
        <w:rPr>
          <w:smallCaps/>
        </w:rPr>
        <w:t>Ostrom</w:t>
      </w:r>
      <w: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 xml:space="preserve">Kilgour (eds.): Designing Institutions for Environmental and Resource Management.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An Assessment of the Institutional Analysis and Development Framework.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rsidR="003F6570" w:rsidRDefault="003F6570">
      <w:pPr>
        <w:pStyle w:val="ALiteraturangaben"/>
      </w:pPr>
      <w:r>
        <w:rPr>
          <w:smallCaps/>
        </w:rPr>
        <w:t>Urfei</w:t>
      </w:r>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3F6570">
      <w:headerReference w:type="default" r:id="rId9"/>
      <w:footerReference w:type="even" r:id="rId10"/>
      <w:footerReference w:type="default" r:id="rId11"/>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3E" w:rsidRDefault="00C2703E">
      <w:r>
        <w:separator/>
      </w:r>
    </w:p>
  </w:endnote>
  <w:endnote w:type="continuationSeparator" w:id="0">
    <w:p w:rsidR="00C2703E" w:rsidRDefault="00C2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Fuzeile"/>
    </w:pPr>
    <w:r>
      <w:fldChar w:fldCharType="begin"/>
    </w:r>
    <w:r>
      <w:instrText xml:space="preserve"> PAGE </w:instrText>
    </w:r>
    <w:r>
      <w:fldChar w:fldCharType="separate"/>
    </w:r>
    <w:r w:rsidR="005B67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pStyle w:val="Fuzeile"/>
      <w:jc w:val="right"/>
    </w:pPr>
    <w:r>
      <w:fldChar w:fldCharType="begin"/>
    </w:r>
    <w:r>
      <w:instrText xml:space="preserve"> PAGE </w:instrText>
    </w:r>
    <w:r>
      <w:fldChar w:fldCharType="separate"/>
    </w:r>
    <w:r w:rsidR="005B67B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3E" w:rsidRDefault="00C2703E">
      <w:r>
        <w:separator/>
      </w:r>
    </w:p>
  </w:footnote>
  <w:footnote w:type="continuationSeparator" w:id="0">
    <w:p w:rsidR="00C2703E" w:rsidRDefault="00C2703E">
      <w:r>
        <w:continuationSeparator/>
      </w:r>
    </w:p>
  </w:footnote>
  <w:footnote w:id="1">
    <w:p w:rsidR="00342384" w:rsidRDefault="00342384" w:rsidP="006320B7">
      <w:pPr>
        <w:pStyle w:val="AFunote"/>
        <w:tabs>
          <w:tab w:val="clear" w:pos="227"/>
        </w:tabs>
        <w:ind w:left="284" w:hanging="284"/>
        <w:rPr>
          <w:lang w:val="de-DE"/>
        </w:rPr>
      </w:pPr>
      <w:r>
        <w:rPr>
          <w:rStyle w:val="Funotenzeichen"/>
        </w:rPr>
        <w:footnoteRef/>
      </w:r>
      <w:r>
        <w:rPr>
          <w:lang w:val="de-DE"/>
        </w:rPr>
        <w:tab/>
      </w:r>
      <w:r w:rsidRPr="00DD5B80">
        <w:rPr>
          <w:highlight w:val="yellow"/>
          <w:lang w:val="de-DE"/>
        </w:rPr>
        <w:t>[Format A_</w:t>
      </w:r>
      <w:r>
        <w:rPr>
          <w:highlight w:val="yellow"/>
          <w:lang w:val="de-DE"/>
        </w:rPr>
        <w:t>Fußnote</w:t>
      </w:r>
      <w:r w:rsidRPr="00DD5B80">
        <w:rPr>
          <w:highlight w:val="yellow"/>
          <w:lang w:val="de-DE"/>
        </w:rPr>
        <w:t>]</w:t>
      </w:r>
      <w:r>
        <w:rPr>
          <w:lang w:val="de-DE"/>
        </w:rPr>
        <w:t xml:space="preserve">Damit sind zum einen die verschiedenen politischen Ebenen (EU, Bundes-, Landes- und Landkreisebene) und zum anderen die in Abschnitt </w:t>
      </w:r>
      <w:r w:rsidR="006320B7">
        <w:rPr>
          <w:lang w:val="de-DE"/>
        </w:rPr>
        <w:t xml:space="preserve">2 </w:t>
      </w:r>
      <w:r>
        <w:rPr>
          <w:lang w:val="de-DE"/>
        </w:rPr>
        <w:t>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AKopfzeile"/>
    </w:pPr>
  </w:p>
  <w:p w:rsidR="00342384" w:rsidRDefault="003423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4">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D8"/>
    <w:rsid w:val="000A19EF"/>
    <w:rsid w:val="00153740"/>
    <w:rsid w:val="002075FC"/>
    <w:rsid w:val="002119F4"/>
    <w:rsid w:val="00296BEC"/>
    <w:rsid w:val="00342384"/>
    <w:rsid w:val="00370BC3"/>
    <w:rsid w:val="003841E5"/>
    <w:rsid w:val="0039034B"/>
    <w:rsid w:val="003F6570"/>
    <w:rsid w:val="00521F1C"/>
    <w:rsid w:val="00597601"/>
    <w:rsid w:val="005B67BB"/>
    <w:rsid w:val="005C3E71"/>
    <w:rsid w:val="006320B7"/>
    <w:rsid w:val="00707D41"/>
    <w:rsid w:val="007158FC"/>
    <w:rsid w:val="007C2DD8"/>
    <w:rsid w:val="00A94892"/>
    <w:rsid w:val="00B443AE"/>
    <w:rsid w:val="00BB1C27"/>
    <w:rsid w:val="00BE4567"/>
    <w:rsid w:val="00C2703E"/>
    <w:rsid w:val="00D35E7C"/>
    <w:rsid w:val="00D87D4A"/>
    <w:rsid w:val="00DD5B80"/>
    <w:rsid w:val="00E2493D"/>
    <w:rsid w:val="00E36220"/>
    <w:rsid w:val="00F26A05"/>
    <w:rsid w:val="00FA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Template>
  <TotalTime>0</TotalTime>
  <Pages>4</Pages>
  <Words>1380</Words>
  <Characters>8699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Carmen Böckler</cp:lastModifiedBy>
  <cp:revision>2</cp:revision>
  <cp:lastPrinted>2013-01-09T15:00:00Z</cp:lastPrinted>
  <dcterms:created xsi:type="dcterms:W3CDTF">2014-10-08T15:03:00Z</dcterms:created>
  <dcterms:modified xsi:type="dcterms:W3CDTF">2014-10-08T15:03:00Z</dcterms:modified>
</cp:coreProperties>
</file>